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C34563" w:rsidR="007565D7" w:rsidRPr="002C58AD" w:rsidRDefault="00340C3A">
      <w:pPr>
        <w:spacing w:after="0"/>
        <w:jc w:val="both"/>
        <w:rPr>
          <w:rFonts w:ascii="Gill Sans MT" w:eastAsia="Gill Sans" w:hAnsi="Gill Sans MT" w:cs="Gill Sans"/>
          <w:b/>
          <w:sz w:val="20"/>
          <w:szCs w:val="20"/>
        </w:rPr>
      </w:pPr>
      <w:bookmarkStart w:id="0" w:name="_GoBack"/>
      <w:bookmarkEnd w:id="0"/>
      <w:r w:rsidRPr="002C58AD">
        <w:rPr>
          <w:rFonts w:ascii="Gill Sans MT" w:eastAsia="Gill Sans" w:hAnsi="Gill Sans MT" w:cs="Gill Sans"/>
          <w:b/>
          <w:sz w:val="20"/>
          <w:szCs w:val="20"/>
        </w:rPr>
        <w:t>Purpose</w:t>
      </w:r>
    </w:p>
    <w:p w14:paraId="04D561B1" w14:textId="5AC00B7C" w:rsidR="002F01DE" w:rsidRPr="002F01DE" w:rsidRDefault="002F01DE" w:rsidP="002F01DE">
      <w:pPr>
        <w:numPr>
          <w:ilvl w:val="0"/>
          <w:numId w:val="3"/>
        </w:numPr>
        <w:spacing w:after="0"/>
        <w:jc w:val="both"/>
        <w:rPr>
          <w:rFonts w:ascii="Gill Sans MT" w:eastAsia="Gill Sans" w:hAnsi="Gill Sans MT" w:cs="Gill Sans"/>
          <w:color w:val="000000"/>
          <w:sz w:val="20"/>
          <w:szCs w:val="20"/>
        </w:rPr>
      </w:pPr>
      <w:r w:rsidRPr="002F01DE">
        <w:rPr>
          <w:rFonts w:ascii="Gill Sans MT" w:eastAsia="Gill Sans" w:hAnsi="Gill Sans MT" w:cs="Gill Sans"/>
          <w:color w:val="000000"/>
          <w:sz w:val="20"/>
          <w:szCs w:val="20"/>
        </w:rPr>
        <w:t>The purpose of these Guidelines is to describe how individuals of all gender identities, and those who do not wish to gender identify or do not gender identify, are able to participate in the sport of ringette.</w:t>
      </w:r>
    </w:p>
    <w:p w14:paraId="00000003" w14:textId="77777777" w:rsidR="007565D7" w:rsidRPr="002C58AD" w:rsidRDefault="007565D7">
      <w:pPr>
        <w:spacing w:after="0"/>
        <w:jc w:val="both"/>
        <w:rPr>
          <w:rFonts w:ascii="Gill Sans MT" w:eastAsia="Gill Sans" w:hAnsi="Gill Sans MT" w:cs="Gill Sans"/>
          <w:sz w:val="20"/>
          <w:szCs w:val="20"/>
        </w:rPr>
      </w:pPr>
    </w:p>
    <w:p w14:paraId="00000004" w14:textId="77777777" w:rsidR="007565D7" w:rsidRPr="002C58AD" w:rsidRDefault="00340C3A">
      <w:pPr>
        <w:spacing w:after="0"/>
        <w:jc w:val="both"/>
        <w:rPr>
          <w:rFonts w:ascii="Gill Sans MT" w:eastAsia="Gill Sans" w:hAnsi="Gill Sans MT" w:cs="Gill Sans"/>
          <w:b/>
          <w:sz w:val="20"/>
          <w:szCs w:val="20"/>
        </w:rPr>
      </w:pPr>
      <w:r w:rsidRPr="002C58AD">
        <w:rPr>
          <w:rFonts w:ascii="Gill Sans MT" w:eastAsia="Gill Sans" w:hAnsi="Gill Sans MT" w:cs="Gill Sans"/>
          <w:b/>
          <w:sz w:val="20"/>
          <w:szCs w:val="20"/>
        </w:rPr>
        <w:t>Application of this Policy</w:t>
      </w:r>
    </w:p>
    <w:p w14:paraId="00000005" w14:textId="77777777"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These Guidelines apply to Ringette Canada, provincial ringette organizations (PROs), ringette associations, and ringette clubs that are registered or affiliated with a PRO, and ringette leagues that are sanctioned by Ringette Canada, a PRO or ringette association(s).</w:t>
      </w:r>
    </w:p>
    <w:p w14:paraId="00000006" w14:textId="77777777" w:rsidR="007565D7" w:rsidRPr="002C58AD" w:rsidRDefault="007565D7">
      <w:pPr>
        <w:spacing w:after="0"/>
        <w:jc w:val="both"/>
        <w:rPr>
          <w:rFonts w:ascii="Gill Sans MT" w:eastAsia="Gill Sans" w:hAnsi="Gill Sans MT" w:cs="Gill Sans"/>
          <w:color w:val="000000"/>
          <w:sz w:val="20"/>
          <w:szCs w:val="20"/>
        </w:rPr>
      </w:pPr>
    </w:p>
    <w:p w14:paraId="00000007" w14:textId="77777777" w:rsidR="007565D7" w:rsidRPr="002C58AD" w:rsidRDefault="00340C3A">
      <w:pPr>
        <w:spacing w:after="0"/>
        <w:jc w:val="both"/>
        <w:rPr>
          <w:rFonts w:ascii="Gill Sans MT" w:eastAsia="Gill Sans" w:hAnsi="Gill Sans MT" w:cs="Gill Sans"/>
          <w:b/>
          <w:sz w:val="20"/>
          <w:szCs w:val="20"/>
        </w:rPr>
      </w:pPr>
      <w:r w:rsidRPr="002C58AD">
        <w:rPr>
          <w:rFonts w:ascii="Gill Sans MT" w:eastAsia="Gill Sans" w:hAnsi="Gill Sans MT" w:cs="Gill Sans"/>
          <w:b/>
          <w:sz w:val="20"/>
          <w:szCs w:val="20"/>
        </w:rPr>
        <w:t>Observations</w:t>
      </w:r>
    </w:p>
    <w:p w14:paraId="00000008" w14:textId="77777777" w:rsidR="007565D7" w:rsidRPr="002C58AD" w:rsidRDefault="00340C3A">
      <w:pPr>
        <w:numPr>
          <w:ilvl w:val="0"/>
          <w:numId w:val="3"/>
        </w:numPr>
        <w:spacing w:after="0"/>
        <w:jc w:val="both"/>
        <w:rPr>
          <w:rFonts w:ascii="Gill Sans MT" w:eastAsia="Gill Sans" w:hAnsi="Gill Sans MT" w:cs="Gill Sans"/>
          <w:sz w:val="20"/>
          <w:szCs w:val="20"/>
        </w:rPr>
      </w:pPr>
      <w:r w:rsidRPr="002C58AD">
        <w:rPr>
          <w:rFonts w:ascii="Gill Sans MT" w:eastAsia="Gill Sans" w:hAnsi="Gill Sans MT" w:cs="Gill Sans"/>
          <w:color w:val="000000"/>
          <w:sz w:val="20"/>
          <w:szCs w:val="20"/>
        </w:rPr>
        <w:t>Ringette Canada recognizes the following:</w:t>
      </w:r>
    </w:p>
    <w:p w14:paraId="00000009" w14:textId="77777777" w:rsidR="007565D7" w:rsidRPr="002C58AD" w:rsidRDefault="00340C3A">
      <w:pPr>
        <w:numPr>
          <w:ilvl w:val="0"/>
          <w:numId w:val="2"/>
        </w:numPr>
        <w:spacing w:after="0"/>
        <w:jc w:val="both"/>
        <w:rPr>
          <w:rFonts w:ascii="Gill Sans MT" w:eastAsia="Gill Sans" w:hAnsi="Gill Sans MT" w:cs="Gill Sans"/>
          <w:sz w:val="20"/>
          <w:szCs w:val="20"/>
        </w:rPr>
      </w:pPr>
      <w:r w:rsidRPr="002C58AD">
        <w:rPr>
          <w:rFonts w:ascii="Gill Sans MT" w:eastAsia="Gill Sans" w:hAnsi="Gill Sans MT" w:cs="Gill Sans"/>
          <w:sz w:val="20"/>
          <w:szCs w:val="20"/>
        </w:rPr>
        <w:t xml:space="preserve">Ringette has long been a female-centric sport; </w:t>
      </w:r>
    </w:p>
    <w:p w14:paraId="0000000A" w14:textId="0194CCA9" w:rsidR="007565D7" w:rsidRPr="002C58AD" w:rsidRDefault="00340C3A">
      <w:pPr>
        <w:numPr>
          <w:ilvl w:val="0"/>
          <w:numId w:val="2"/>
        </w:numPr>
        <w:spacing w:after="0"/>
        <w:jc w:val="both"/>
        <w:rPr>
          <w:rFonts w:ascii="Gill Sans MT" w:eastAsia="Gill Sans" w:hAnsi="Gill Sans MT" w:cs="Gill Sans"/>
          <w:sz w:val="20"/>
          <w:szCs w:val="20"/>
        </w:rPr>
      </w:pPr>
      <w:r w:rsidRPr="002C58AD">
        <w:rPr>
          <w:rFonts w:ascii="Gill Sans MT" w:eastAsia="Gill Sans" w:hAnsi="Gill Sans MT" w:cs="Gill Sans"/>
          <w:sz w:val="20"/>
          <w:szCs w:val="20"/>
        </w:rPr>
        <w:t xml:space="preserve">Individuals who identify as male have traditionally been able to participate on </w:t>
      </w:r>
      <w:r w:rsidR="00C92A6C">
        <w:rPr>
          <w:rFonts w:ascii="Gill Sans MT" w:eastAsia="Gill Sans" w:hAnsi="Gill Sans MT" w:cs="Gill Sans"/>
          <w:sz w:val="20"/>
          <w:szCs w:val="20"/>
        </w:rPr>
        <w:t>mixed</w:t>
      </w:r>
      <w:r w:rsidRPr="002C58AD">
        <w:rPr>
          <w:rFonts w:ascii="Gill Sans MT" w:eastAsia="Gill Sans" w:hAnsi="Gill Sans MT" w:cs="Gill Sans"/>
          <w:sz w:val="20"/>
          <w:szCs w:val="20"/>
        </w:rPr>
        <w:t xml:space="preserve"> teams in younger age groups and at all ages in recreational settings; and</w:t>
      </w:r>
    </w:p>
    <w:p w14:paraId="0000000B" w14:textId="77777777" w:rsidR="007565D7" w:rsidRPr="002C58AD" w:rsidRDefault="00340C3A">
      <w:pPr>
        <w:numPr>
          <w:ilvl w:val="0"/>
          <w:numId w:val="2"/>
        </w:numPr>
        <w:spacing w:after="0"/>
        <w:jc w:val="both"/>
        <w:rPr>
          <w:rFonts w:ascii="Gill Sans MT" w:eastAsia="Gill Sans" w:hAnsi="Gill Sans MT" w:cs="Gill Sans"/>
          <w:sz w:val="20"/>
          <w:szCs w:val="20"/>
        </w:rPr>
      </w:pPr>
      <w:r w:rsidRPr="002C58AD">
        <w:rPr>
          <w:rFonts w:ascii="Gill Sans MT" w:eastAsia="Gill Sans" w:hAnsi="Gill Sans MT" w:cs="Gill Sans"/>
          <w:sz w:val="20"/>
          <w:szCs w:val="20"/>
        </w:rPr>
        <w:t>Male participation in ringette is increasing and PROs and associations are seeking guidance from Ringette Canada with respect to the integration of individuals who identify as males within the sport of ringette.</w:t>
      </w:r>
    </w:p>
    <w:p w14:paraId="0000000C" w14:textId="77777777" w:rsidR="007565D7" w:rsidRPr="002C58AD" w:rsidRDefault="007565D7">
      <w:pPr>
        <w:spacing w:after="0"/>
        <w:jc w:val="both"/>
        <w:rPr>
          <w:rFonts w:ascii="Gill Sans MT" w:eastAsia="Gill Sans" w:hAnsi="Gill Sans MT" w:cs="Gill Sans"/>
          <w:sz w:val="20"/>
          <w:szCs w:val="20"/>
        </w:rPr>
      </w:pPr>
    </w:p>
    <w:p w14:paraId="0000000D" w14:textId="77777777" w:rsidR="007565D7" w:rsidRPr="002C58AD" w:rsidRDefault="00340C3A">
      <w:pPr>
        <w:spacing w:after="0"/>
        <w:jc w:val="both"/>
        <w:rPr>
          <w:rFonts w:ascii="Gill Sans MT" w:eastAsia="Gill Sans" w:hAnsi="Gill Sans MT" w:cs="Gill Sans"/>
          <w:b/>
          <w:sz w:val="20"/>
          <w:szCs w:val="20"/>
        </w:rPr>
      </w:pPr>
      <w:r w:rsidRPr="002C58AD">
        <w:rPr>
          <w:rFonts w:ascii="Gill Sans MT" w:eastAsia="Gill Sans" w:hAnsi="Gill Sans MT" w:cs="Gill Sans"/>
          <w:b/>
          <w:sz w:val="20"/>
          <w:szCs w:val="20"/>
        </w:rPr>
        <w:t>Participation Opportunities</w:t>
      </w:r>
    </w:p>
    <w:p w14:paraId="0000000E" w14:textId="79175589"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 xml:space="preserve">All activities at U12 and younger should be organized as </w:t>
      </w:r>
      <w:r w:rsidR="00C92A6C">
        <w:rPr>
          <w:rFonts w:ascii="Gill Sans MT" w:eastAsia="Gill Sans" w:hAnsi="Gill Sans MT" w:cs="Gill Sans"/>
          <w:color w:val="000000"/>
          <w:sz w:val="20"/>
          <w:szCs w:val="20"/>
        </w:rPr>
        <w:t>mixed</w:t>
      </w:r>
      <w:r w:rsidRPr="002C58AD">
        <w:rPr>
          <w:rFonts w:ascii="Gill Sans MT" w:eastAsia="Gill Sans" w:hAnsi="Gill Sans MT" w:cs="Gill Sans"/>
          <w:color w:val="000000"/>
          <w:sz w:val="20"/>
          <w:szCs w:val="20"/>
        </w:rPr>
        <w:t>.</w:t>
      </w:r>
    </w:p>
    <w:p w14:paraId="0000000F" w14:textId="77777777" w:rsidR="007565D7" w:rsidRPr="002C58AD" w:rsidRDefault="007565D7">
      <w:pPr>
        <w:spacing w:after="0"/>
        <w:jc w:val="both"/>
        <w:rPr>
          <w:rFonts w:ascii="Gill Sans MT" w:eastAsia="Gill Sans" w:hAnsi="Gill Sans MT" w:cs="Gill Sans"/>
          <w:b/>
          <w:sz w:val="20"/>
          <w:szCs w:val="20"/>
        </w:rPr>
      </w:pPr>
    </w:p>
    <w:p w14:paraId="00000010" w14:textId="77777777"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 xml:space="preserve">At the time of registration, ringette clubs, ringette leagues and ringette associations sanctioned by Ringette Canada or PRO’s should reasonably strive to offer programming for the following competition categories:  </w:t>
      </w:r>
    </w:p>
    <w:p w14:paraId="00000011" w14:textId="5B2826E6" w:rsidR="007565D7" w:rsidRPr="002C58AD" w:rsidRDefault="00C92A6C">
      <w:pPr>
        <w:numPr>
          <w:ilvl w:val="0"/>
          <w:numId w:val="4"/>
        </w:numPr>
        <w:pBdr>
          <w:top w:val="nil"/>
          <w:left w:val="nil"/>
          <w:bottom w:val="nil"/>
          <w:right w:val="nil"/>
          <w:between w:val="nil"/>
        </w:pBdr>
        <w:spacing w:after="0"/>
        <w:jc w:val="both"/>
        <w:rPr>
          <w:rFonts w:ascii="Gill Sans MT" w:eastAsia="Gill Sans" w:hAnsi="Gill Sans MT" w:cs="Gill Sans"/>
          <w:color w:val="000000"/>
          <w:sz w:val="20"/>
          <w:szCs w:val="20"/>
        </w:rPr>
      </w:pPr>
      <w:r>
        <w:rPr>
          <w:rFonts w:ascii="Gill Sans MT" w:eastAsia="Gill Sans" w:hAnsi="Gill Sans MT" w:cs="Gill Sans"/>
          <w:color w:val="000000"/>
          <w:sz w:val="20"/>
          <w:szCs w:val="20"/>
        </w:rPr>
        <w:t>Girls/Women</w:t>
      </w:r>
      <w:r w:rsidR="00340C3A" w:rsidRPr="002C58AD">
        <w:rPr>
          <w:rFonts w:ascii="Gill Sans MT" w:eastAsia="Gill Sans" w:hAnsi="Gill Sans MT" w:cs="Gill Sans"/>
          <w:color w:val="000000"/>
          <w:sz w:val="20"/>
          <w:szCs w:val="20"/>
        </w:rPr>
        <w:t xml:space="preserve"> only ringette </w:t>
      </w:r>
    </w:p>
    <w:p w14:paraId="00000012" w14:textId="0F085581" w:rsidR="007565D7" w:rsidRPr="002C58AD" w:rsidRDefault="00C92A6C">
      <w:pPr>
        <w:numPr>
          <w:ilvl w:val="0"/>
          <w:numId w:val="4"/>
        </w:numPr>
        <w:pBdr>
          <w:top w:val="nil"/>
          <w:left w:val="nil"/>
          <w:bottom w:val="nil"/>
          <w:right w:val="nil"/>
          <w:between w:val="nil"/>
        </w:pBdr>
        <w:spacing w:after="0"/>
        <w:jc w:val="both"/>
        <w:rPr>
          <w:rFonts w:ascii="Gill Sans MT" w:eastAsia="Gill Sans" w:hAnsi="Gill Sans MT" w:cs="Gill Sans"/>
          <w:color w:val="000000"/>
          <w:sz w:val="20"/>
          <w:szCs w:val="20"/>
        </w:rPr>
      </w:pPr>
      <w:r>
        <w:rPr>
          <w:rFonts w:ascii="Gill Sans MT" w:eastAsia="Gill Sans" w:hAnsi="Gill Sans MT" w:cs="Gill Sans"/>
          <w:color w:val="000000"/>
          <w:sz w:val="20"/>
          <w:szCs w:val="20"/>
        </w:rPr>
        <w:t>Boys/Men</w:t>
      </w:r>
      <w:r w:rsidR="00340C3A" w:rsidRPr="002C58AD">
        <w:rPr>
          <w:rFonts w:ascii="Gill Sans MT" w:eastAsia="Gill Sans" w:hAnsi="Gill Sans MT" w:cs="Gill Sans"/>
          <w:color w:val="000000"/>
          <w:sz w:val="20"/>
          <w:szCs w:val="20"/>
        </w:rPr>
        <w:t xml:space="preserve"> only ringette</w:t>
      </w:r>
    </w:p>
    <w:p w14:paraId="00000013" w14:textId="3380AAE0" w:rsidR="007565D7" w:rsidRPr="002C58AD" w:rsidRDefault="00C92A6C">
      <w:pPr>
        <w:numPr>
          <w:ilvl w:val="0"/>
          <w:numId w:val="4"/>
        </w:numPr>
        <w:pBdr>
          <w:top w:val="nil"/>
          <w:left w:val="nil"/>
          <w:bottom w:val="nil"/>
          <w:right w:val="nil"/>
          <w:between w:val="nil"/>
        </w:pBdr>
        <w:spacing w:after="0"/>
        <w:jc w:val="both"/>
        <w:rPr>
          <w:rFonts w:ascii="Gill Sans MT" w:eastAsia="Gill Sans" w:hAnsi="Gill Sans MT" w:cs="Gill Sans"/>
          <w:color w:val="000000"/>
          <w:sz w:val="20"/>
          <w:szCs w:val="20"/>
        </w:rPr>
      </w:pPr>
      <w:r>
        <w:rPr>
          <w:rFonts w:ascii="Gill Sans MT" w:eastAsia="Gill Sans" w:hAnsi="Gill Sans MT" w:cs="Gill Sans"/>
          <w:color w:val="000000"/>
          <w:sz w:val="20"/>
          <w:szCs w:val="20"/>
        </w:rPr>
        <w:t>Mixed</w:t>
      </w:r>
      <w:r w:rsidR="00340C3A" w:rsidRPr="002C58AD">
        <w:rPr>
          <w:rFonts w:ascii="Gill Sans MT" w:eastAsia="Gill Sans" w:hAnsi="Gill Sans MT" w:cs="Gill Sans"/>
          <w:color w:val="000000"/>
          <w:sz w:val="20"/>
          <w:szCs w:val="20"/>
        </w:rPr>
        <w:t xml:space="preserve"> ringette</w:t>
      </w:r>
    </w:p>
    <w:p w14:paraId="00000014" w14:textId="77777777" w:rsidR="007565D7" w:rsidRPr="002C58AD" w:rsidRDefault="007565D7">
      <w:pPr>
        <w:spacing w:after="0"/>
        <w:jc w:val="both"/>
        <w:rPr>
          <w:rFonts w:ascii="Gill Sans MT" w:eastAsia="Gill Sans" w:hAnsi="Gill Sans MT" w:cs="Gill Sans"/>
          <w:sz w:val="20"/>
          <w:szCs w:val="20"/>
        </w:rPr>
      </w:pPr>
    </w:p>
    <w:p w14:paraId="00000015" w14:textId="77777777"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When it is not logistically possible to offer the above competition categories because registration numbers do not permit appropriate formation of teams, alternative solutions which focus on providing opportunities for meaningful participation and competition in a safe and welcoming environment should be considered, such as:</w:t>
      </w:r>
    </w:p>
    <w:p w14:paraId="00000016" w14:textId="77777777" w:rsidR="007565D7" w:rsidRPr="002C58AD" w:rsidRDefault="007565D7">
      <w:pPr>
        <w:spacing w:after="0"/>
        <w:jc w:val="both"/>
        <w:rPr>
          <w:rFonts w:ascii="Gill Sans MT" w:eastAsia="Gill Sans" w:hAnsi="Gill Sans MT" w:cs="Gill Sans"/>
          <w:sz w:val="20"/>
          <w:szCs w:val="20"/>
        </w:rPr>
      </w:pPr>
    </w:p>
    <w:p w14:paraId="00000017" w14:textId="3F9E5530" w:rsidR="007565D7" w:rsidRPr="002C58AD" w:rsidRDefault="00340C3A">
      <w:pPr>
        <w:numPr>
          <w:ilvl w:val="0"/>
          <w:numId w:val="5"/>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 xml:space="preserve">Allowing </w:t>
      </w:r>
      <w:r w:rsidR="00C92A6C">
        <w:rPr>
          <w:rFonts w:ascii="Gill Sans MT" w:eastAsia="Gill Sans" w:hAnsi="Gill Sans MT" w:cs="Gill Sans"/>
          <w:color w:val="000000"/>
          <w:sz w:val="20"/>
          <w:szCs w:val="20"/>
        </w:rPr>
        <w:t>mixed</w:t>
      </w:r>
      <w:r w:rsidRPr="002C58AD">
        <w:rPr>
          <w:rFonts w:ascii="Gill Sans MT" w:eastAsia="Gill Sans" w:hAnsi="Gill Sans MT" w:cs="Gill Sans"/>
          <w:color w:val="000000"/>
          <w:sz w:val="20"/>
          <w:szCs w:val="20"/>
        </w:rPr>
        <w:t xml:space="preserve"> teams to play in female only ringette leagues within the same age group/division or in a different age group/division based on a comparable competitive level of play of the team;</w:t>
      </w:r>
    </w:p>
    <w:p w14:paraId="00000018" w14:textId="121EAA95" w:rsidR="007565D7" w:rsidRPr="002C58AD" w:rsidRDefault="00340C3A">
      <w:pPr>
        <w:numPr>
          <w:ilvl w:val="0"/>
          <w:numId w:val="5"/>
        </w:numPr>
        <w:pBdr>
          <w:top w:val="nil"/>
          <w:left w:val="nil"/>
          <w:bottom w:val="nil"/>
          <w:right w:val="nil"/>
          <w:between w:val="nil"/>
        </w:pBdr>
        <w:spacing w:after="0"/>
        <w:jc w:val="both"/>
        <w:rPr>
          <w:rFonts w:ascii="Gill Sans MT" w:eastAsia="Gill Sans" w:hAnsi="Gill Sans MT" w:cs="Gill Sans"/>
          <w:b/>
          <w:color w:val="000000"/>
          <w:sz w:val="20"/>
          <w:szCs w:val="20"/>
        </w:rPr>
      </w:pPr>
      <w:r w:rsidRPr="002C58AD">
        <w:rPr>
          <w:rFonts w:ascii="Gill Sans MT" w:eastAsia="Gill Sans" w:hAnsi="Gill Sans MT" w:cs="Gill Sans"/>
          <w:color w:val="000000"/>
          <w:sz w:val="20"/>
          <w:szCs w:val="20"/>
        </w:rPr>
        <w:t xml:space="preserve">Allowing </w:t>
      </w:r>
      <w:r w:rsidR="00C92A6C">
        <w:rPr>
          <w:rFonts w:ascii="Gill Sans MT" w:eastAsia="Gill Sans" w:hAnsi="Gill Sans MT" w:cs="Gill Sans"/>
          <w:color w:val="000000"/>
          <w:sz w:val="20"/>
          <w:szCs w:val="20"/>
        </w:rPr>
        <w:t>boys/</w:t>
      </w:r>
      <w:r w:rsidRPr="002C58AD">
        <w:rPr>
          <w:rFonts w:ascii="Gill Sans MT" w:eastAsia="Gill Sans" w:hAnsi="Gill Sans MT" w:cs="Gill Sans"/>
          <w:color w:val="000000"/>
          <w:sz w:val="20"/>
          <w:szCs w:val="20"/>
        </w:rPr>
        <w:t>m</w:t>
      </w:r>
      <w:r w:rsidR="00C92A6C">
        <w:rPr>
          <w:rFonts w:ascii="Gill Sans MT" w:eastAsia="Gill Sans" w:hAnsi="Gill Sans MT" w:cs="Gill Sans"/>
          <w:color w:val="000000"/>
          <w:sz w:val="20"/>
          <w:szCs w:val="20"/>
        </w:rPr>
        <w:t xml:space="preserve">en </w:t>
      </w:r>
      <w:r w:rsidRPr="002C58AD">
        <w:rPr>
          <w:rFonts w:ascii="Gill Sans MT" w:eastAsia="Gill Sans" w:hAnsi="Gill Sans MT" w:cs="Gill Sans"/>
          <w:color w:val="000000"/>
          <w:sz w:val="20"/>
          <w:szCs w:val="20"/>
        </w:rPr>
        <w:t xml:space="preserve">only teams to play in </w:t>
      </w:r>
      <w:r w:rsidR="00C92A6C">
        <w:rPr>
          <w:rFonts w:ascii="Gill Sans MT" w:eastAsia="Gill Sans" w:hAnsi="Gill Sans MT" w:cs="Gill Sans"/>
          <w:color w:val="000000"/>
          <w:sz w:val="20"/>
          <w:szCs w:val="20"/>
        </w:rPr>
        <w:t xml:space="preserve">mixed </w:t>
      </w:r>
      <w:r w:rsidRPr="002C58AD">
        <w:rPr>
          <w:rFonts w:ascii="Gill Sans MT" w:eastAsia="Gill Sans" w:hAnsi="Gill Sans MT" w:cs="Gill Sans"/>
          <w:color w:val="000000"/>
          <w:sz w:val="20"/>
          <w:szCs w:val="20"/>
        </w:rPr>
        <w:t xml:space="preserve">or </w:t>
      </w:r>
      <w:r w:rsidR="00C92A6C">
        <w:rPr>
          <w:rFonts w:ascii="Gill Sans MT" w:eastAsia="Gill Sans" w:hAnsi="Gill Sans MT" w:cs="Gill Sans"/>
          <w:color w:val="000000"/>
          <w:sz w:val="20"/>
          <w:szCs w:val="20"/>
        </w:rPr>
        <w:t>girls/women</w:t>
      </w:r>
      <w:r w:rsidRPr="002C58AD">
        <w:rPr>
          <w:rFonts w:ascii="Gill Sans MT" w:eastAsia="Gill Sans" w:hAnsi="Gill Sans MT" w:cs="Gill Sans"/>
          <w:color w:val="000000"/>
          <w:sz w:val="20"/>
          <w:szCs w:val="20"/>
        </w:rPr>
        <w:t xml:space="preserve"> only leagues within the same age group/division or in a different age group/division based on a comparable competitive level of play of the team;</w:t>
      </w:r>
      <w:r w:rsidR="00AA0334" w:rsidRPr="002C58AD">
        <w:rPr>
          <w:rFonts w:ascii="Gill Sans MT" w:eastAsia="Gill Sans" w:hAnsi="Gill Sans MT" w:cs="Gill Sans"/>
          <w:color w:val="000000"/>
          <w:sz w:val="20"/>
          <w:szCs w:val="20"/>
        </w:rPr>
        <w:t xml:space="preserve"> or</w:t>
      </w:r>
    </w:p>
    <w:p w14:paraId="00000019" w14:textId="77777777" w:rsidR="007565D7" w:rsidRPr="002C58AD" w:rsidRDefault="00340C3A">
      <w:pPr>
        <w:numPr>
          <w:ilvl w:val="0"/>
          <w:numId w:val="5"/>
        </w:numPr>
        <w:pBdr>
          <w:top w:val="nil"/>
          <w:left w:val="nil"/>
          <w:bottom w:val="nil"/>
          <w:right w:val="nil"/>
          <w:between w:val="nil"/>
        </w:pBdr>
        <w:spacing w:after="0"/>
        <w:jc w:val="both"/>
        <w:rPr>
          <w:rFonts w:ascii="Gill Sans MT" w:eastAsia="Gill Sans" w:hAnsi="Gill Sans MT" w:cs="Gill Sans"/>
          <w:b/>
          <w:color w:val="000000"/>
          <w:sz w:val="20"/>
          <w:szCs w:val="20"/>
        </w:rPr>
      </w:pPr>
      <w:r w:rsidRPr="002C58AD">
        <w:rPr>
          <w:rFonts w:ascii="Gill Sans MT" w:eastAsia="Gill Sans" w:hAnsi="Gill Sans MT" w:cs="Gill Sans"/>
          <w:color w:val="000000"/>
          <w:sz w:val="20"/>
          <w:szCs w:val="20"/>
        </w:rPr>
        <w:t>Allowing nonbinary and genderfluid athletes to choose the division that they feel fits their identity at the time of registrations.</w:t>
      </w:r>
    </w:p>
    <w:p w14:paraId="0000001A" w14:textId="77777777" w:rsidR="007565D7" w:rsidRPr="002C58AD" w:rsidRDefault="007565D7">
      <w:pPr>
        <w:spacing w:after="0"/>
        <w:ind w:left="360"/>
        <w:jc w:val="both"/>
        <w:rPr>
          <w:rFonts w:ascii="Gill Sans MT" w:eastAsia="Gill Sans" w:hAnsi="Gill Sans MT" w:cs="Gill Sans"/>
          <w:sz w:val="20"/>
          <w:szCs w:val="20"/>
        </w:rPr>
      </w:pPr>
    </w:p>
    <w:p w14:paraId="0000001B" w14:textId="77777777" w:rsidR="007565D7" w:rsidRPr="002C58AD" w:rsidRDefault="007565D7">
      <w:pPr>
        <w:spacing w:after="0"/>
        <w:jc w:val="both"/>
        <w:rPr>
          <w:rFonts w:ascii="Gill Sans MT" w:eastAsia="Gill Sans" w:hAnsi="Gill Sans MT" w:cs="Gill Sans"/>
          <w:sz w:val="20"/>
          <w:szCs w:val="20"/>
        </w:rPr>
      </w:pPr>
    </w:p>
    <w:p w14:paraId="0000001C" w14:textId="77777777" w:rsidR="007565D7" w:rsidRPr="002C58AD" w:rsidRDefault="00340C3A">
      <w:pPr>
        <w:spacing w:after="0"/>
        <w:jc w:val="both"/>
        <w:rPr>
          <w:rFonts w:ascii="Gill Sans MT" w:eastAsia="Gill Sans" w:hAnsi="Gill Sans MT" w:cs="Gill Sans"/>
          <w:b/>
          <w:sz w:val="20"/>
          <w:szCs w:val="20"/>
        </w:rPr>
      </w:pPr>
      <w:r w:rsidRPr="002C58AD">
        <w:rPr>
          <w:rFonts w:ascii="Gill Sans MT" w:eastAsia="Gill Sans" w:hAnsi="Gill Sans MT" w:cs="Gill Sans"/>
          <w:b/>
          <w:sz w:val="20"/>
          <w:szCs w:val="20"/>
        </w:rPr>
        <w:t>Championship Play – Participation Opportunities</w:t>
      </w:r>
    </w:p>
    <w:p w14:paraId="0000001D" w14:textId="481A269D"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 xml:space="preserve">For the purposes of National and Provincial Championships, the governing organization (e.g., Ringette Canada or the PRO) will offer Championships for male, female and </w:t>
      </w:r>
      <w:r w:rsidR="00C92A6C">
        <w:rPr>
          <w:rFonts w:ascii="Gill Sans MT" w:eastAsia="Gill Sans" w:hAnsi="Gill Sans MT" w:cs="Gill Sans"/>
          <w:color w:val="000000"/>
          <w:sz w:val="20"/>
          <w:szCs w:val="20"/>
        </w:rPr>
        <w:t>mixed</w:t>
      </w:r>
      <w:r w:rsidRPr="002C58AD">
        <w:rPr>
          <w:rFonts w:ascii="Gill Sans MT" w:eastAsia="Gill Sans" w:hAnsi="Gill Sans MT" w:cs="Gill Sans"/>
          <w:color w:val="000000"/>
          <w:sz w:val="20"/>
          <w:szCs w:val="20"/>
        </w:rPr>
        <w:t xml:space="preserve"> competition streams. For Regional Competitions, Ringette Canada recommends that the same competition streams be offered.</w:t>
      </w:r>
    </w:p>
    <w:p w14:paraId="0000001E" w14:textId="77777777" w:rsidR="007565D7" w:rsidRPr="002C58AD" w:rsidRDefault="007565D7">
      <w:pPr>
        <w:spacing w:after="0"/>
        <w:jc w:val="both"/>
        <w:rPr>
          <w:rFonts w:ascii="Gill Sans MT" w:eastAsia="Gill Sans" w:hAnsi="Gill Sans MT" w:cs="Gill Sans"/>
          <w:sz w:val="20"/>
          <w:szCs w:val="20"/>
        </w:rPr>
      </w:pPr>
    </w:p>
    <w:p w14:paraId="0000001F" w14:textId="77777777"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A minimum of two teams is required to designate an event as a Championship and four teams of similar levels is preferable to promote meaningful competition.</w:t>
      </w:r>
    </w:p>
    <w:p w14:paraId="00000020" w14:textId="77777777" w:rsidR="007565D7" w:rsidRPr="002C58AD" w:rsidRDefault="007565D7">
      <w:pPr>
        <w:spacing w:after="0"/>
        <w:jc w:val="both"/>
        <w:rPr>
          <w:rFonts w:ascii="Gill Sans MT" w:eastAsia="Gill Sans" w:hAnsi="Gill Sans MT" w:cs="Gill Sans"/>
          <w:sz w:val="20"/>
          <w:szCs w:val="20"/>
        </w:rPr>
      </w:pPr>
    </w:p>
    <w:p w14:paraId="00000021" w14:textId="6C336480"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 xml:space="preserve">Should more than one (1) and fewer than (4) teams register in a designated stream, the championship organizer will consult will the teams to determine if they wish to participate in their own division, or as part of a </w:t>
      </w:r>
      <w:r w:rsidR="00C92A6C">
        <w:rPr>
          <w:rFonts w:ascii="Gill Sans MT" w:eastAsia="Gill Sans" w:hAnsi="Gill Sans MT" w:cs="Gill Sans"/>
          <w:color w:val="000000"/>
          <w:sz w:val="20"/>
          <w:szCs w:val="20"/>
        </w:rPr>
        <w:t>mixed</w:t>
      </w:r>
      <w:r w:rsidRPr="002C58AD">
        <w:rPr>
          <w:rFonts w:ascii="Gill Sans MT" w:eastAsia="Gill Sans" w:hAnsi="Gill Sans MT" w:cs="Gill Sans"/>
          <w:color w:val="000000"/>
          <w:sz w:val="20"/>
          <w:szCs w:val="20"/>
        </w:rPr>
        <w:t xml:space="preserve"> division.</w:t>
      </w:r>
    </w:p>
    <w:p w14:paraId="00000022" w14:textId="77777777" w:rsidR="007565D7" w:rsidRPr="002C58AD" w:rsidRDefault="007565D7">
      <w:pPr>
        <w:spacing w:after="0"/>
        <w:jc w:val="both"/>
        <w:rPr>
          <w:rFonts w:ascii="Gill Sans MT" w:eastAsia="Gill Sans" w:hAnsi="Gill Sans MT" w:cs="Gill Sans"/>
          <w:sz w:val="20"/>
          <w:szCs w:val="20"/>
        </w:rPr>
      </w:pPr>
    </w:p>
    <w:p w14:paraId="00000023" w14:textId="77777777" w:rsidR="007565D7" w:rsidRPr="002C58AD" w:rsidRDefault="00340C3A">
      <w:pPr>
        <w:numPr>
          <w:ilvl w:val="0"/>
          <w:numId w:val="3"/>
        </w:numPr>
        <w:pBdr>
          <w:top w:val="nil"/>
          <w:left w:val="nil"/>
          <w:bottom w:val="nil"/>
          <w:right w:val="nil"/>
          <w:between w:val="nil"/>
        </w:pBdr>
        <w:spacing w:after="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In making this determination, the organizer may consider the following options:</w:t>
      </w:r>
    </w:p>
    <w:p w14:paraId="00000024" w14:textId="77777777" w:rsidR="007565D7" w:rsidRPr="002C58AD" w:rsidRDefault="00340C3A">
      <w:pPr>
        <w:numPr>
          <w:ilvl w:val="3"/>
          <w:numId w:val="3"/>
        </w:numPr>
        <w:pBdr>
          <w:top w:val="nil"/>
          <w:left w:val="nil"/>
          <w:bottom w:val="nil"/>
          <w:right w:val="nil"/>
          <w:between w:val="nil"/>
        </w:pBdr>
        <w:spacing w:after="0"/>
        <w:ind w:hanging="36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Combining age divisions so that gender specific streams can be offered; or</w:t>
      </w:r>
    </w:p>
    <w:p w14:paraId="00000025" w14:textId="03485A80" w:rsidR="007565D7" w:rsidRPr="002C58AD" w:rsidRDefault="00340C3A">
      <w:pPr>
        <w:numPr>
          <w:ilvl w:val="3"/>
          <w:numId w:val="3"/>
        </w:numPr>
        <w:pBdr>
          <w:top w:val="nil"/>
          <w:left w:val="nil"/>
          <w:bottom w:val="nil"/>
          <w:right w:val="nil"/>
          <w:between w:val="nil"/>
        </w:pBdr>
        <w:spacing w:after="0"/>
        <w:ind w:hanging="360"/>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 xml:space="preserve">Entering the </w:t>
      </w:r>
      <w:r w:rsidR="00C92A6C">
        <w:rPr>
          <w:rFonts w:ascii="Gill Sans MT" w:eastAsia="Gill Sans" w:hAnsi="Gill Sans MT" w:cs="Gill Sans"/>
          <w:color w:val="000000"/>
          <w:sz w:val="20"/>
          <w:szCs w:val="20"/>
        </w:rPr>
        <w:t>mixed</w:t>
      </w:r>
      <w:r w:rsidRPr="002C58AD">
        <w:rPr>
          <w:rFonts w:ascii="Gill Sans MT" w:eastAsia="Gill Sans" w:hAnsi="Gill Sans MT" w:cs="Gill Sans"/>
          <w:color w:val="000000"/>
          <w:sz w:val="20"/>
          <w:szCs w:val="20"/>
        </w:rPr>
        <w:t xml:space="preserve"> or gender specific team in a division based on their level of play rather than solely basing it on age;</w:t>
      </w:r>
    </w:p>
    <w:p w14:paraId="00000026" w14:textId="4160DBAE" w:rsidR="007565D7" w:rsidRDefault="007565D7">
      <w:pPr>
        <w:spacing w:after="0"/>
        <w:jc w:val="both"/>
        <w:rPr>
          <w:rFonts w:ascii="Gill Sans MT" w:eastAsia="Gill Sans" w:hAnsi="Gill Sans MT" w:cs="Gill Sans"/>
          <w:sz w:val="20"/>
          <w:szCs w:val="20"/>
        </w:rPr>
      </w:pPr>
    </w:p>
    <w:p w14:paraId="3BD86EDD" w14:textId="77777777" w:rsidR="002350B7" w:rsidRPr="002C58AD" w:rsidRDefault="002350B7">
      <w:pPr>
        <w:spacing w:after="0"/>
        <w:jc w:val="both"/>
        <w:rPr>
          <w:rFonts w:ascii="Gill Sans MT" w:eastAsia="Gill Sans" w:hAnsi="Gill Sans MT" w:cs="Gill Sans"/>
          <w:sz w:val="20"/>
          <w:szCs w:val="20"/>
        </w:rPr>
      </w:pPr>
    </w:p>
    <w:p w14:paraId="00000027" w14:textId="77777777" w:rsidR="007565D7" w:rsidRPr="002C58AD" w:rsidRDefault="00340C3A">
      <w:pPr>
        <w:spacing w:after="0"/>
        <w:jc w:val="both"/>
        <w:rPr>
          <w:rFonts w:ascii="Gill Sans MT" w:eastAsia="Gill Sans" w:hAnsi="Gill Sans MT" w:cs="Gill Sans"/>
          <w:color w:val="000000"/>
          <w:sz w:val="20"/>
          <w:szCs w:val="20"/>
        </w:rPr>
      </w:pPr>
      <w:r w:rsidRPr="002C58AD">
        <w:rPr>
          <w:rFonts w:ascii="Gill Sans MT" w:eastAsia="Gill Sans" w:hAnsi="Gill Sans MT" w:cs="Gill Sans"/>
          <w:b/>
          <w:sz w:val="20"/>
          <w:szCs w:val="20"/>
        </w:rPr>
        <w:t>Competition Category Differences</w:t>
      </w:r>
    </w:p>
    <w:p w14:paraId="00000028" w14:textId="0DF5D579" w:rsidR="007565D7" w:rsidRPr="002C58AD" w:rsidRDefault="00340C3A">
      <w:pPr>
        <w:numPr>
          <w:ilvl w:val="0"/>
          <w:numId w:val="3"/>
        </w:numPr>
        <w:spacing w:after="0"/>
        <w:jc w:val="both"/>
        <w:rPr>
          <w:rFonts w:ascii="Gill Sans MT" w:eastAsia="Gill Sans" w:hAnsi="Gill Sans MT" w:cs="Gill Sans"/>
          <w:sz w:val="20"/>
          <w:szCs w:val="20"/>
        </w:rPr>
      </w:pPr>
      <w:r w:rsidRPr="002C58AD">
        <w:rPr>
          <w:rFonts w:ascii="Gill Sans MT" w:eastAsia="Gill Sans" w:hAnsi="Gill Sans MT" w:cs="Gill Sans"/>
          <w:color w:val="000000"/>
          <w:sz w:val="20"/>
          <w:szCs w:val="20"/>
        </w:rPr>
        <w:t xml:space="preserve">An organization may have different minimum requirements and/or regulations for each competition category and may include variables for different age groups as necessary; provided that these requirements or variables </w:t>
      </w:r>
      <w:sdt>
        <w:sdtPr>
          <w:rPr>
            <w:rFonts w:ascii="Gill Sans MT" w:hAnsi="Gill Sans MT"/>
            <w:sz w:val="20"/>
            <w:szCs w:val="20"/>
          </w:rPr>
          <w:tag w:val="goog_rdk_1"/>
          <w:id w:val="1623266957"/>
        </w:sdtPr>
        <w:sdtEndPr/>
        <w:sdtContent/>
      </w:sdt>
      <w:r w:rsidR="003E236D" w:rsidRPr="002C58AD">
        <w:rPr>
          <w:rFonts w:ascii="Gill Sans MT" w:eastAsia="Gill Sans" w:hAnsi="Gill Sans MT" w:cs="Gill Sans"/>
          <w:color w:val="000000"/>
          <w:sz w:val="20"/>
          <w:szCs w:val="20"/>
        </w:rPr>
        <w:t xml:space="preserve">do not </w:t>
      </w:r>
      <w:r w:rsidR="00FD05D4" w:rsidRPr="002C58AD">
        <w:rPr>
          <w:rFonts w:ascii="Gill Sans MT" w:eastAsia="Gill Sans" w:hAnsi="Gill Sans MT" w:cs="Gill Sans"/>
          <w:color w:val="000000"/>
          <w:sz w:val="20"/>
          <w:szCs w:val="20"/>
        </w:rPr>
        <w:t>discriminate based on human rights protected grounds (i.e. gender identify, gender expression, etc.)</w:t>
      </w:r>
      <w:r w:rsidRPr="002C58AD">
        <w:rPr>
          <w:rFonts w:ascii="Gill Sans MT" w:eastAsia="Gill Sans" w:hAnsi="Gill Sans MT" w:cs="Gill Sans"/>
          <w:color w:val="000000"/>
          <w:sz w:val="20"/>
          <w:szCs w:val="20"/>
        </w:rPr>
        <w:t>.</w:t>
      </w:r>
    </w:p>
    <w:p w14:paraId="00000029" w14:textId="4A8935D0" w:rsidR="007565D7" w:rsidRDefault="007565D7">
      <w:pPr>
        <w:spacing w:after="0"/>
        <w:ind w:left="360"/>
        <w:jc w:val="both"/>
        <w:rPr>
          <w:rFonts w:ascii="Gill Sans MT" w:eastAsia="Gill Sans" w:hAnsi="Gill Sans MT" w:cs="Gill Sans"/>
          <w:sz w:val="20"/>
          <w:szCs w:val="20"/>
        </w:rPr>
      </w:pPr>
    </w:p>
    <w:p w14:paraId="568173BD" w14:textId="77777777" w:rsidR="002C58AD" w:rsidRPr="002C58AD" w:rsidRDefault="002C58AD">
      <w:pPr>
        <w:spacing w:after="0"/>
        <w:ind w:left="360"/>
        <w:jc w:val="both"/>
        <w:rPr>
          <w:rFonts w:ascii="Gill Sans MT" w:eastAsia="Gill Sans" w:hAnsi="Gill Sans MT" w:cs="Gill Sans"/>
          <w:sz w:val="20"/>
          <w:szCs w:val="20"/>
        </w:rPr>
      </w:pPr>
    </w:p>
    <w:p w14:paraId="0000002A" w14:textId="61004269" w:rsidR="007565D7" w:rsidRPr="002C58AD" w:rsidRDefault="00340C3A">
      <w:pPr>
        <w:numPr>
          <w:ilvl w:val="0"/>
          <w:numId w:val="3"/>
        </w:numPr>
        <w:spacing w:after="0"/>
        <w:jc w:val="both"/>
        <w:rPr>
          <w:rFonts w:ascii="Gill Sans MT" w:eastAsia="Gill Sans" w:hAnsi="Gill Sans MT" w:cs="Gill Sans"/>
          <w:sz w:val="20"/>
          <w:szCs w:val="20"/>
        </w:rPr>
      </w:pPr>
      <w:r w:rsidRPr="002C58AD">
        <w:rPr>
          <w:rFonts w:ascii="Gill Sans MT" w:eastAsia="Gill Sans" w:hAnsi="Gill Sans MT" w:cs="Gill Sans"/>
          <w:sz w:val="20"/>
          <w:szCs w:val="20"/>
        </w:rPr>
        <w:t xml:space="preserve">When an organization is not able to offer both competition categories and instead must offer a </w:t>
      </w:r>
      <w:r w:rsidR="00C92A6C">
        <w:rPr>
          <w:rFonts w:ascii="Gill Sans MT" w:eastAsia="Gill Sans" w:hAnsi="Gill Sans MT" w:cs="Gill Sans"/>
          <w:sz w:val="20"/>
          <w:szCs w:val="20"/>
        </w:rPr>
        <w:t>mixed</w:t>
      </w:r>
      <w:r w:rsidRPr="002C58AD">
        <w:rPr>
          <w:rFonts w:ascii="Gill Sans MT" w:eastAsia="Gill Sans" w:hAnsi="Gill Sans MT" w:cs="Gill Sans"/>
          <w:sz w:val="20"/>
          <w:szCs w:val="20"/>
        </w:rPr>
        <w:t xml:space="preserve"> competition category, the </w:t>
      </w:r>
      <w:r w:rsidR="00C92A6C">
        <w:rPr>
          <w:rFonts w:ascii="Gill Sans MT" w:eastAsia="Gill Sans" w:hAnsi="Gill Sans MT" w:cs="Gill Sans"/>
          <w:sz w:val="20"/>
          <w:szCs w:val="20"/>
        </w:rPr>
        <w:t>mixed</w:t>
      </w:r>
      <w:r w:rsidRPr="002C58AD">
        <w:rPr>
          <w:rFonts w:ascii="Gill Sans MT" w:eastAsia="Gill Sans" w:hAnsi="Gill Sans MT" w:cs="Gill Sans"/>
          <w:sz w:val="20"/>
          <w:szCs w:val="20"/>
        </w:rPr>
        <w:t xml:space="preserve"> competition category may include the following features:</w:t>
      </w:r>
    </w:p>
    <w:p w14:paraId="0000002B" w14:textId="77777777" w:rsidR="007565D7" w:rsidRPr="002C58AD" w:rsidRDefault="00340C3A">
      <w:pPr>
        <w:numPr>
          <w:ilvl w:val="0"/>
          <w:numId w:val="1"/>
        </w:numPr>
        <w:pBdr>
          <w:top w:val="nil"/>
          <w:left w:val="nil"/>
          <w:bottom w:val="nil"/>
          <w:right w:val="nil"/>
          <w:between w:val="nil"/>
        </w:pBdr>
        <w:spacing w:after="0"/>
        <w:ind w:left="993"/>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Athlete placement policies based on skill or other factors (but not based on gender identity)</w:t>
      </w:r>
    </w:p>
    <w:p w14:paraId="0000002C" w14:textId="77777777" w:rsidR="007565D7" w:rsidRPr="002C58AD" w:rsidRDefault="00340C3A">
      <w:pPr>
        <w:numPr>
          <w:ilvl w:val="0"/>
          <w:numId w:val="1"/>
        </w:numPr>
        <w:pBdr>
          <w:top w:val="nil"/>
          <w:left w:val="nil"/>
          <w:bottom w:val="nil"/>
          <w:right w:val="nil"/>
          <w:between w:val="nil"/>
        </w:pBdr>
        <w:spacing w:after="0"/>
        <w:ind w:left="993"/>
        <w:jc w:val="both"/>
        <w:rPr>
          <w:rFonts w:ascii="Gill Sans MT" w:eastAsia="Gill Sans" w:hAnsi="Gill Sans MT" w:cs="Gill Sans"/>
          <w:color w:val="000000"/>
          <w:sz w:val="20"/>
          <w:szCs w:val="20"/>
        </w:rPr>
      </w:pPr>
      <w:r w:rsidRPr="002C58AD">
        <w:rPr>
          <w:rFonts w:ascii="Gill Sans MT" w:eastAsia="Gill Sans" w:hAnsi="Gill Sans MT" w:cs="Gill Sans"/>
          <w:color w:val="000000"/>
          <w:sz w:val="20"/>
          <w:szCs w:val="20"/>
        </w:rPr>
        <w:t>Must avoid discriminatory practices (e.g., cannot force male players to participate only as goalies)</w:t>
      </w:r>
    </w:p>
    <w:p w14:paraId="0000002D" w14:textId="77777777" w:rsidR="007565D7" w:rsidRPr="002C58AD" w:rsidRDefault="007565D7">
      <w:pPr>
        <w:spacing w:after="0"/>
        <w:jc w:val="both"/>
        <w:rPr>
          <w:rFonts w:ascii="Gill Sans MT" w:eastAsia="Gill Sans" w:hAnsi="Gill Sans MT" w:cs="Gill Sans"/>
          <w:color w:val="000000"/>
          <w:sz w:val="20"/>
          <w:szCs w:val="20"/>
        </w:rPr>
      </w:pPr>
    </w:p>
    <w:p w14:paraId="0000002E" w14:textId="77777777" w:rsidR="007565D7" w:rsidRPr="002C58AD" w:rsidRDefault="007565D7">
      <w:pPr>
        <w:pBdr>
          <w:top w:val="nil"/>
          <w:left w:val="nil"/>
          <w:bottom w:val="nil"/>
          <w:right w:val="nil"/>
          <w:between w:val="nil"/>
        </w:pBdr>
        <w:spacing w:before="120" w:after="0"/>
        <w:ind w:left="360" w:hanging="720"/>
        <w:rPr>
          <w:rFonts w:ascii="Gill Sans MT" w:eastAsia="Gill Sans" w:hAnsi="Gill Sans MT" w:cs="Gill Sans"/>
          <w:color w:val="000000"/>
          <w:sz w:val="20"/>
          <w:szCs w:val="20"/>
        </w:rPr>
      </w:pPr>
    </w:p>
    <w:p w14:paraId="0000002F" w14:textId="77777777" w:rsidR="007565D7" w:rsidRPr="002C58AD" w:rsidRDefault="007565D7">
      <w:pPr>
        <w:pBdr>
          <w:top w:val="nil"/>
          <w:left w:val="nil"/>
          <w:bottom w:val="nil"/>
          <w:right w:val="nil"/>
          <w:between w:val="nil"/>
        </w:pBdr>
        <w:spacing w:after="0"/>
        <w:ind w:hanging="360"/>
        <w:jc w:val="both"/>
        <w:rPr>
          <w:rFonts w:ascii="Gill Sans MT" w:eastAsia="Gill Sans" w:hAnsi="Gill Sans MT" w:cs="Gill Sans"/>
          <w:color w:val="000000"/>
          <w:sz w:val="20"/>
          <w:szCs w:val="20"/>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675"/>
        <w:gridCol w:w="4397"/>
      </w:tblGrid>
      <w:tr w:rsidR="007565D7" w:rsidRPr="002C58AD" w14:paraId="2509A960" w14:textId="77777777" w:rsidTr="00557FC4">
        <w:tc>
          <w:tcPr>
            <w:tcW w:w="9072" w:type="dxa"/>
            <w:gridSpan w:val="2"/>
          </w:tcPr>
          <w:p w14:paraId="00000030" w14:textId="77777777" w:rsidR="007565D7" w:rsidRPr="002C58AD" w:rsidRDefault="00340C3A">
            <w:pPr>
              <w:spacing w:before="120"/>
              <w:rPr>
                <w:rFonts w:ascii="Gill Sans MT" w:eastAsia="Gill Sans" w:hAnsi="Gill Sans MT" w:cs="Gill Sans"/>
                <w:sz w:val="20"/>
                <w:szCs w:val="20"/>
              </w:rPr>
            </w:pPr>
            <w:r w:rsidRPr="002C58AD">
              <w:rPr>
                <w:rFonts w:ascii="Gill Sans MT" w:eastAsia="Gill Sans" w:hAnsi="Gill Sans MT" w:cs="Gill Sans"/>
                <w:sz w:val="20"/>
                <w:szCs w:val="20"/>
              </w:rPr>
              <w:t>These Guidelines are subject to review at any time.</w:t>
            </w:r>
          </w:p>
        </w:tc>
      </w:tr>
      <w:tr w:rsidR="007565D7" w:rsidRPr="002C58AD" w14:paraId="7EB37D25" w14:textId="77777777" w:rsidTr="00557FC4">
        <w:tc>
          <w:tcPr>
            <w:tcW w:w="4675" w:type="dxa"/>
          </w:tcPr>
          <w:p w14:paraId="00000032" w14:textId="630E5310" w:rsidR="007565D7" w:rsidRPr="002C58AD" w:rsidRDefault="00340C3A">
            <w:pPr>
              <w:rPr>
                <w:rFonts w:ascii="Gill Sans MT" w:eastAsia="Gill Sans" w:hAnsi="Gill Sans MT" w:cs="Gill Sans"/>
                <w:b/>
                <w:sz w:val="20"/>
                <w:szCs w:val="20"/>
              </w:rPr>
            </w:pPr>
            <w:r w:rsidRPr="002C58AD">
              <w:rPr>
                <w:rFonts w:ascii="Gill Sans MT" w:eastAsia="Gill Sans" w:hAnsi="Gill Sans MT" w:cs="Gill Sans"/>
                <w:b/>
                <w:sz w:val="20"/>
                <w:szCs w:val="20"/>
              </w:rPr>
              <w:t xml:space="preserve">Date of last review:  </w:t>
            </w:r>
            <w:r w:rsidR="000229EC">
              <w:rPr>
                <w:rFonts w:ascii="Gill Sans MT" w:eastAsia="Gill Sans" w:hAnsi="Gill Sans MT" w:cs="Gill Sans"/>
                <w:b/>
                <w:sz w:val="20"/>
                <w:szCs w:val="20"/>
              </w:rPr>
              <w:t>June</w:t>
            </w:r>
            <w:r w:rsidRPr="002C58AD">
              <w:rPr>
                <w:rFonts w:ascii="Gill Sans MT" w:eastAsia="Gill Sans" w:hAnsi="Gill Sans MT" w:cs="Gill Sans"/>
                <w:b/>
                <w:sz w:val="20"/>
                <w:szCs w:val="20"/>
              </w:rPr>
              <w:t xml:space="preserve"> 202</w:t>
            </w:r>
            <w:r w:rsidR="000229EC">
              <w:rPr>
                <w:rFonts w:ascii="Gill Sans MT" w:eastAsia="Gill Sans" w:hAnsi="Gill Sans MT" w:cs="Gill Sans"/>
                <w:b/>
                <w:sz w:val="20"/>
                <w:szCs w:val="20"/>
              </w:rPr>
              <w:t>1</w:t>
            </w:r>
          </w:p>
        </w:tc>
        <w:tc>
          <w:tcPr>
            <w:tcW w:w="4397" w:type="dxa"/>
          </w:tcPr>
          <w:p w14:paraId="00000033" w14:textId="77777777" w:rsidR="007565D7" w:rsidRPr="002C58AD" w:rsidRDefault="007565D7">
            <w:pPr>
              <w:rPr>
                <w:rFonts w:ascii="Gill Sans MT" w:eastAsia="Gill Sans" w:hAnsi="Gill Sans MT" w:cs="Gill Sans"/>
                <w:sz w:val="20"/>
                <w:szCs w:val="20"/>
              </w:rPr>
            </w:pPr>
          </w:p>
        </w:tc>
      </w:tr>
      <w:tr w:rsidR="007565D7" w:rsidRPr="002C58AD" w14:paraId="46D4FA43" w14:textId="77777777" w:rsidTr="00557FC4">
        <w:tc>
          <w:tcPr>
            <w:tcW w:w="9072" w:type="dxa"/>
            <w:gridSpan w:val="2"/>
          </w:tcPr>
          <w:p w14:paraId="00000034" w14:textId="77777777" w:rsidR="007565D7" w:rsidRPr="002C58AD" w:rsidRDefault="007565D7">
            <w:pPr>
              <w:rPr>
                <w:rFonts w:ascii="Gill Sans MT" w:eastAsia="Gill Sans" w:hAnsi="Gill Sans MT" w:cs="Gill Sans"/>
                <w:i/>
                <w:sz w:val="20"/>
                <w:szCs w:val="20"/>
              </w:rPr>
            </w:pPr>
          </w:p>
        </w:tc>
      </w:tr>
    </w:tbl>
    <w:p w14:paraId="00000037" w14:textId="4DB715E8" w:rsidR="007565D7" w:rsidRPr="002C58AD" w:rsidRDefault="007565D7">
      <w:pPr>
        <w:spacing w:before="120" w:after="0"/>
        <w:rPr>
          <w:rFonts w:ascii="Gill Sans MT" w:eastAsia="Gill Sans" w:hAnsi="Gill Sans MT" w:cs="Gill Sans"/>
          <w:sz w:val="20"/>
          <w:szCs w:val="20"/>
        </w:rPr>
      </w:pPr>
    </w:p>
    <w:sectPr w:rsidR="007565D7" w:rsidRPr="002C58AD" w:rsidSect="002350B7">
      <w:headerReference w:type="default" r:id="rId12"/>
      <w:footerReference w:type="default" r:id="rId13"/>
      <w:pgSz w:w="12240" w:h="15840"/>
      <w:pgMar w:top="1208" w:right="1622" w:bottom="1208" w:left="162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E0E5" w14:textId="77777777" w:rsidR="00394CB0" w:rsidRDefault="00394CB0">
      <w:pPr>
        <w:spacing w:after="0"/>
      </w:pPr>
      <w:r>
        <w:separator/>
      </w:r>
    </w:p>
  </w:endnote>
  <w:endnote w:type="continuationSeparator" w:id="0">
    <w:p w14:paraId="24B0646E" w14:textId="77777777" w:rsidR="00394CB0" w:rsidRDefault="00394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rPr>
      <w:id w:val="-1752496971"/>
      <w:docPartObj>
        <w:docPartGallery w:val="Page Numbers (Bottom of Page)"/>
        <w:docPartUnique/>
      </w:docPartObj>
    </w:sdtPr>
    <w:sdtEndPr>
      <w:rPr>
        <w:noProof/>
      </w:rPr>
    </w:sdtEndPr>
    <w:sdtContent>
      <w:p w14:paraId="00000039" w14:textId="6520F2FF" w:rsidR="007565D7" w:rsidRPr="002F01DE" w:rsidRDefault="002F01DE" w:rsidP="002F01DE">
        <w:pPr>
          <w:pStyle w:val="Footer"/>
          <w:jc w:val="center"/>
          <w:rPr>
            <w:rFonts w:ascii="Gill Sans MT" w:hAnsi="Gill Sans MT"/>
          </w:rPr>
        </w:pPr>
        <w:r w:rsidRPr="002F01DE">
          <w:rPr>
            <w:rFonts w:ascii="Gill Sans MT" w:hAnsi="Gill Sans MT"/>
          </w:rPr>
          <w:fldChar w:fldCharType="begin"/>
        </w:r>
        <w:r w:rsidRPr="002F01DE">
          <w:rPr>
            <w:rFonts w:ascii="Gill Sans MT" w:hAnsi="Gill Sans MT"/>
          </w:rPr>
          <w:instrText xml:space="preserve"> PAGE   \* MERGEFORMAT </w:instrText>
        </w:r>
        <w:r w:rsidRPr="002F01DE">
          <w:rPr>
            <w:rFonts w:ascii="Gill Sans MT" w:hAnsi="Gill Sans MT"/>
          </w:rPr>
          <w:fldChar w:fldCharType="separate"/>
        </w:r>
        <w:r w:rsidR="00315F5F">
          <w:rPr>
            <w:rFonts w:ascii="Gill Sans MT" w:hAnsi="Gill Sans MT"/>
            <w:noProof/>
          </w:rPr>
          <w:t>1</w:t>
        </w:r>
        <w:r w:rsidRPr="002F01DE">
          <w:rPr>
            <w:rFonts w:ascii="Gill Sans MT" w:hAnsi="Gill Sans MT"/>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DB21" w14:textId="77777777" w:rsidR="00394CB0" w:rsidRDefault="00394CB0">
      <w:pPr>
        <w:spacing w:after="0"/>
      </w:pPr>
      <w:r>
        <w:separator/>
      </w:r>
    </w:p>
  </w:footnote>
  <w:footnote w:type="continuationSeparator" w:id="0">
    <w:p w14:paraId="32D29DA4" w14:textId="77777777" w:rsidR="00394CB0" w:rsidRDefault="00394CB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7565D7" w:rsidRPr="002F01DE" w:rsidRDefault="00340C3A" w:rsidP="002F01DE">
    <w:pPr>
      <w:pBdr>
        <w:top w:val="nil"/>
        <w:left w:val="nil"/>
        <w:bottom w:val="thickThinSmallGap" w:sz="18" w:space="1" w:color="000000"/>
        <w:right w:val="nil"/>
        <w:between w:val="nil"/>
      </w:pBdr>
      <w:tabs>
        <w:tab w:val="center" w:pos="4680"/>
        <w:tab w:val="right" w:pos="9360"/>
      </w:tabs>
      <w:spacing w:after="120"/>
      <w:jc w:val="center"/>
      <w:rPr>
        <w:rFonts w:ascii="Gill Sans MT" w:eastAsia="Gill Sans" w:hAnsi="Gill Sans MT" w:cs="Gill Sans"/>
        <w:b/>
        <w:color w:val="000000"/>
        <w:sz w:val="24"/>
        <w:szCs w:val="24"/>
      </w:rPr>
    </w:pPr>
    <w:r w:rsidRPr="002F01DE">
      <w:rPr>
        <w:rFonts w:ascii="Gill Sans MT" w:eastAsia="Gill Sans" w:hAnsi="Gill Sans MT" w:cs="Gill Sans"/>
        <w:b/>
        <w:color w:val="000000"/>
        <w:sz w:val="24"/>
        <w:szCs w:val="24"/>
      </w:rPr>
      <w:t>EQUAL OPPORTUNITY FOR PARTICIPATION GUIDELINES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02"/>
    <w:multiLevelType w:val="multilevel"/>
    <w:tmpl w:val="D94268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44C51CD"/>
    <w:multiLevelType w:val="multilevel"/>
    <w:tmpl w:val="F26A7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373A5"/>
    <w:multiLevelType w:val="multilevel"/>
    <w:tmpl w:val="920E9E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0A62A4A"/>
    <w:multiLevelType w:val="multilevel"/>
    <w:tmpl w:val="1AEC1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2B5A2B"/>
    <w:multiLevelType w:val="multilevel"/>
    <w:tmpl w:val="EC4E358C"/>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Roman"/>
      <w:lvlText w:val="%3."/>
      <w:lvlJc w:val="left"/>
      <w:pPr>
        <w:ind w:left="900" w:hanging="180"/>
      </w:pPr>
    </w:lvl>
    <w:lvl w:ilvl="3">
      <w:start w:val="1"/>
      <w:numFmt w:val="lowerLetter"/>
      <w:lvlText w:val="%4)"/>
      <w:lvlJc w:val="left"/>
      <w:pPr>
        <w:ind w:left="644" w:hanging="359"/>
      </w:pPr>
      <w:rPr>
        <w:rFonts w:ascii="Arial Narrow" w:eastAsia="Arial Narrow" w:hAnsi="Arial Narrow" w:cs="Arial Narrow"/>
        <w:b w:val="0"/>
        <w:color w:val="000000"/>
      </w:rPr>
    </w:lvl>
    <w:lvl w:ilvl="4">
      <w:start w:val="1"/>
      <w:numFmt w:val="lowerRoman"/>
      <w:lvlText w:val="%5."/>
      <w:lvlJc w:val="left"/>
      <w:pPr>
        <w:ind w:left="1440" w:hanging="720"/>
      </w:pPr>
      <w:rPr>
        <w:b w:val="0"/>
        <w:i w:val="0"/>
        <w:strike w:val="0"/>
        <w:color w:val="000000"/>
        <w:sz w:val="20"/>
        <w:szCs w:val="20"/>
        <w:u w:val="none"/>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D7"/>
    <w:rsid w:val="000229EC"/>
    <w:rsid w:val="00121AFD"/>
    <w:rsid w:val="002350B7"/>
    <w:rsid w:val="002C58AD"/>
    <w:rsid w:val="002F01DE"/>
    <w:rsid w:val="00315F5F"/>
    <w:rsid w:val="00340C3A"/>
    <w:rsid w:val="0038495E"/>
    <w:rsid w:val="00394CB0"/>
    <w:rsid w:val="003E236D"/>
    <w:rsid w:val="004062BF"/>
    <w:rsid w:val="00407D5E"/>
    <w:rsid w:val="00407E1A"/>
    <w:rsid w:val="004513C9"/>
    <w:rsid w:val="00557FC4"/>
    <w:rsid w:val="007565D7"/>
    <w:rsid w:val="008F17D3"/>
    <w:rsid w:val="009D0236"/>
    <w:rsid w:val="00AA0334"/>
    <w:rsid w:val="00AE1BC6"/>
    <w:rsid w:val="00B12EB2"/>
    <w:rsid w:val="00C92A6C"/>
    <w:rsid w:val="00CF461A"/>
    <w:rsid w:val="00D21EDB"/>
    <w:rsid w:val="00E35D4F"/>
    <w:rsid w:val="00F7617B"/>
    <w:rsid w:val="00FD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49DE"/>
  <w15:docId w15:val="{9B924EEE-3D37-4C7D-A016-720D771B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7D40"/>
    <w:pPr>
      <w:tabs>
        <w:tab w:val="center" w:pos="4680"/>
        <w:tab w:val="right" w:pos="9360"/>
      </w:tabs>
      <w:spacing w:after="0"/>
    </w:pPr>
    <w:rPr>
      <w:rFonts w:asciiTheme="minorHAnsi" w:hAnsiTheme="minorHAnsi" w:cstheme="minorBidi"/>
    </w:rPr>
  </w:style>
  <w:style w:type="character" w:customStyle="1" w:styleId="HeaderChar">
    <w:name w:val="Header Char"/>
    <w:basedOn w:val="DefaultParagraphFont"/>
    <w:link w:val="Header"/>
    <w:uiPriority w:val="99"/>
    <w:rsid w:val="003E7D40"/>
  </w:style>
  <w:style w:type="paragraph" w:styleId="Footer">
    <w:name w:val="footer"/>
    <w:basedOn w:val="Normal"/>
    <w:link w:val="FooterChar"/>
    <w:uiPriority w:val="99"/>
    <w:unhideWhenUsed/>
    <w:rsid w:val="003E7D40"/>
    <w:pPr>
      <w:tabs>
        <w:tab w:val="center" w:pos="4680"/>
        <w:tab w:val="right" w:pos="9360"/>
      </w:tabs>
      <w:spacing w:after="0"/>
    </w:pPr>
    <w:rPr>
      <w:rFonts w:asciiTheme="minorHAnsi" w:hAnsiTheme="minorHAnsi" w:cstheme="minorBidi"/>
    </w:rPr>
  </w:style>
  <w:style w:type="character" w:customStyle="1" w:styleId="FooterChar">
    <w:name w:val="Footer Char"/>
    <w:basedOn w:val="DefaultParagraphFont"/>
    <w:link w:val="Footer"/>
    <w:uiPriority w:val="99"/>
    <w:rsid w:val="003E7D40"/>
  </w:style>
  <w:style w:type="paragraph" w:styleId="BodyTextIndent3">
    <w:name w:val="Body Text Indent 3"/>
    <w:basedOn w:val="Normal"/>
    <w:link w:val="BodyTextIndent3Char"/>
    <w:uiPriority w:val="99"/>
    <w:unhideWhenUsed/>
    <w:rsid w:val="00BA16D8"/>
    <w:pPr>
      <w:spacing w:after="120"/>
      <w:ind w:left="360"/>
      <w:contextualSpacing/>
    </w:pPr>
    <w:rPr>
      <w:rFonts w:ascii="Arial Narrow" w:eastAsia="Calibri" w:hAnsi="Arial Narrow" w:cs="Times New Roman"/>
      <w:sz w:val="16"/>
      <w:szCs w:val="16"/>
      <w:lang w:bidi="en-US"/>
    </w:rPr>
  </w:style>
  <w:style w:type="character" w:customStyle="1" w:styleId="BodyTextIndent3Char">
    <w:name w:val="Body Text Indent 3 Char"/>
    <w:basedOn w:val="DefaultParagraphFont"/>
    <w:link w:val="BodyTextIndent3"/>
    <w:uiPriority w:val="99"/>
    <w:rsid w:val="00BA16D8"/>
    <w:rPr>
      <w:rFonts w:ascii="Arial Narrow" w:eastAsia="Calibri" w:hAnsi="Arial Narrow" w:cs="Times New Roman"/>
      <w:sz w:val="16"/>
      <w:szCs w:val="16"/>
      <w:lang w:val="en-CA" w:bidi="en-US"/>
    </w:rPr>
  </w:style>
  <w:style w:type="table" w:styleId="TableGrid">
    <w:name w:val="Table Grid"/>
    <w:basedOn w:val="TableNormal"/>
    <w:uiPriority w:val="39"/>
    <w:rsid w:val="00BA1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917"/>
    <w:pPr>
      <w:spacing w:after="0"/>
      <w:ind w:left="720"/>
      <w:contextualSpacing/>
    </w:pPr>
    <w:rPr>
      <w:rFonts w:ascii="Arial Narrow" w:eastAsia="Calibri" w:hAnsi="Arial Narrow" w:cs="Times New Roman"/>
      <w:sz w:val="24"/>
      <w:lang w:bidi="en-US"/>
    </w:rPr>
  </w:style>
  <w:style w:type="character" w:styleId="CommentReference">
    <w:name w:val="annotation reference"/>
    <w:basedOn w:val="DefaultParagraphFont"/>
    <w:uiPriority w:val="99"/>
    <w:semiHidden/>
    <w:unhideWhenUsed/>
    <w:rsid w:val="002316E2"/>
    <w:rPr>
      <w:sz w:val="16"/>
      <w:szCs w:val="16"/>
    </w:rPr>
  </w:style>
  <w:style w:type="paragraph" w:styleId="CommentText">
    <w:name w:val="annotation text"/>
    <w:basedOn w:val="Normal"/>
    <w:link w:val="CommentTextChar"/>
    <w:uiPriority w:val="99"/>
    <w:semiHidden/>
    <w:unhideWhenUsed/>
    <w:rsid w:val="002316E2"/>
    <w:rPr>
      <w:sz w:val="20"/>
      <w:szCs w:val="20"/>
    </w:rPr>
  </w:style>
  <w:style w:type="character" w:customStyle="1" w:styleId="CommentTextChar">
    <w:name w:val="Comment Text Char"/>
    <w:basedOn w:val="DefaultParagraphFont"/>
    <w:link w:val="CommentText"/>
    <w:uiPriority w:val="99"/>
    <w:semiHidden/>
    <w:rsid w:val="002316E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316E2"/>
    <w:rPr>
      <w:b/>
      <w:bCs/>
    </w:rPr>
  </w:style>
  <w:style w:type="character" w:customStyle="1" w:styleId="CommentSubjectChar">
    <w:name w:val="Comment Subject Char"/>
    <w:basedOn w:val="CommentTextChar"/>
    <w:link w:val="CommentSubject"/>
    <w:uiPriority w:val="99"/>
    <w:semiHidden/>
    <w:rsid w:val="002316E2"/>
    <w:rPr>
      <w:rFonts w:ascii="Arial" w:hAnsi="Arial" w:cs="Arial"/>
      <w:b/>
      <w:bCs/>
      <w:sz w:val="20"/>
      <w:szCs w:val="20"/>
    </w:rPr>
  </w:style>
  <w:style w:type="paragraph" w:styleId="BalloonText">
    <w:name w:val="Balloon Text"/>
    <w:basedOn w:val="Normal"/>
    <w:link w:val="BalloonTextChar"/>
    <w:uiPriority w:val="99"/>
    <w:semiHidden/>
    <w:unhideWhenUsed/>
    <w:rsid w:val="002316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E2"/>
    <w:rPr>
      <w:rFonts w:ascii="Segoe UI" w:hAnsi="Segoe UI" w:cs="Segoe UI"/>
      <w:sz w:val="18"/>
      <w:szCs w:val="18"/>
    </w:rPr>
  </w:style>
  <w:style w:type="paragraph" w:styleId="Revision">
    <w:name w:val="Revision"/>
    <w:hidden/>
    <w:uiPriority w:val="99"/>
    <w:semiHidden/>
    <w:rsid w:val="009F50D1"/>
    <w:pPr>
      <w:spacing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Su+ZcjDhR/rc/9zlNtDK2wDHdA==">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42AE9-EC18-439F-A00C-008E061791EE}">
  <ds:schemaRefs>
    <ds:schemaRef ds:uri="http://schemas.microsoft.com/sharepoint/v3/contenttype/forms"/>
  </ds:schemaRefs>
</ds:datastoreItem>
</file>

<file path=customXml/itemProps2.xml><?xml version="1.0" encoding="utf-8"?>
<ds:datastoreItem xmlns:ds="http://schemas.openxmlformats.org/officeDocument/2006/customXml" ds:itemID="{9EA29CD2-39E1-4AA1-9495-57E5B8C6D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E34F491-81AD-4641-90E7-F32078B93C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9F7662-2DAC-48CB-B9FE-EF62AEDF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Desjardins</dc:creator>
  <cp:lastModifiedBy>Kenda McDonald</cp:lastModifiedBy>
  <cp:revision>2</cp:revision>
  <dcterms:created xsi:type="dcterms:W3CDTF">2021-06-16T14:54:00Z</dcterms:created>
  <dcterms:modified xsi:type="dcterms:W3CDTF">2021-06-16T14:54:00Z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